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3B" w:rsidRDefault="00A7669D" w:rsidP="00E00764">
      <w:pPr>
        <w:spacing w:before="120" w:line="240" w:lineRule="auto"/>
        <w:ind w:left="0"/>
        <w:jc w:val="right"/>
        <w:rPr>
          <w:color w:val="000000" w:themeColor="text1"/>
          <w:lang w:val="ro-RO"/>
        </w:rPr>
      </w:pPr>
      <w:r w:rsidRPr="001653FB">
        <w:rPr>
          <w:color w:val="000000" w:themeColor="text1"/>
          <w:lang w:val="ro-RO"/>
        </w:rPr>
        <w:t xml:space="preserve">Nr. </w:t>
      </w:r>
      <w:r w:rsidR="00D36CE4">
        <w:rPr>
          <w:color w:val="000000" w:themeColor="text1"/>
          <w:lang w:val="ro-RO"/>
        </w:rPr>
        <w:t>140</w:t>
      </w:r>
      <w:r w:rsidR="00B4679F" w:rsidRPr="001653FB">
        <w:rPr>
          <w:color w:val="000000" w:themeColor="text1"/>
          <w:lang w:val="ro-RO"/>
        </w:rPr>
        <w:t>/</w:t>
      </w:r>
      <w:r w:rsidR="00D36CE4">
        <w:rPr>
          <w:color w:val="000000" w:themeColor="text1"/>
          <w:lang w:val="ro-RO"/>
        </w:rPr>
        <w:t>254</w:t>
      </w:r>
      <w:r w:rsidR="00685520">
        <w:rPr>
          <w:color w:val="000000" w:themeColor="text1"/>
          <w:lang w:val="ro-RO"/>
        </w:rPr>
        <w:t>/201</w:t>
      </w:r>
      <w:r w:rsidR="00D36CE4">
        <w:rPr>
          <w:color w:val="000000" w:themeColor="text1"/>
          <w:lang w:val="ro-RO"/>
        </w:rPr>
        <w:t>7</w:t>
      </w:r>
      <w:r w:rsidR="00BA738B">
        <w:rPr>
          <w:color w:val="000000" w:themeColor="text1"/>
          <w:lang w:val="ro-RO"/>
        </w:rPr>
        <w:t>/</w:t>
      </w:r>
      <w:r w:rsidR="00D36CE4">
        <w:rPr>
          <w:color w:val="000000" w:themeColor="text1"/>
          <w:lang w:val="ro-RO"/>
        </w:rPr>
        <w:t>02</w:t>
      </w:r>
      <w:r w:rsidR="00685520">
        <w:rPr>
          <w:color w:val="000000" w:themeColor="text1"/>
          <w:lang w:val="ro-RO"/>
        </w:rPr>
        <w:t>.</w:t>
      </w:r>
      <w:r w:rsidR="00D36CE4">
        <w:rPr>
          <w:color w:val="000000" w:themeColor="text1"/>
          <w:lang w:val="ro-RO"/>
        </w:rPr>
        <w:t>09</w:t>
      </w:r>
      <w:r w:rsidR="003B11B7" w:rsidRPr="001653FB">
        <w:rPr>
          <w:color w:val="000000" w:themeColor="text1"/>
          <w:lang w:val="ro-RO"/>
        </w:rPr>
        <w:t>.</w:t>
      </w:r>
      <w:r w:rsidR="00824AEE" w:rsidRPr="001653FB">
        <w:rPr>
          <w:color w:val="000000" w:themeColor="text1"/>
          <w:lang w:val="ro-RO"/>
        </w:rPr>
        <w:t>201</w:t>
      </w:r>
      <w:r w:rsidR="00D36CE4">
        <w:rPr>
          <w:color w:val="000000" w:themeColor="text1"/>
          <w:lang w:val="ro-RO"/>
        </w:rPr>
        <w:t>9</w:t>
      </w:r>
    </w:p>
    <w:p w:rsidR="00D36CE4" w:rsidRDefault="00D36CE4" w:rsidP="00E00764">
      <w:pPr>
        <w:spacing w:before="120" w:line="240" w:lineRule="auto"/>
        <w:ind w:left="0"/>
        <w:jc w:val="right"/>
        <w:rPr>
          <w:color w:val="000000" w:themeColor="text1"/>
          <w:lang w:val="ro-RO"/>
        </w:rPr>
      </w:pPr>
    </w:p>
    <w:p w:rsidR="00D36CE4" w:rsidRPr="001653FB" w:rsidRDefault="00D36CE4" w:rsidP="00E00764">
      <w:pPr>
        <w:spacing w:before="120" w:line="240" w:lineRule="auto"/>
        <w:ind w:left="0"/>
        <w:jc w:val="right"/>
        <w:rPr>
          <w:color w:val="000000" w:themeColor="text1"/>
          <w:lang w:val="ro-RO"/>
        </w:rPr>
      </w:pPr>
    </w:p>
    <w:p w:rsidR="00F12E17" w:rsidRPr="00F12E17" w:rsidRDefault="00F12E17" w:rsidP="00F12E17">
      <w:pPr>
        <w:spacing w:after="0" w:line="240" w:lineRule="auto"/>
        <w:ind w:left="0"/>
        <w:jc w:val="left"/>
        <w:rPr>
          <w:rFonts w:ascii="Calibri" w:eastAsia="Calibri" w:hAnsi="Calibri" w:cs="Calibri"/>
        </w:rPr>
      </w:pPr>
    </w:p>
    <w:p w:rsidR="00F12E17" w:rsidRPr="00F12E17" w:rsidRDefault="00F12E17" w:rsidP="00F12E17">
      <w:pPr>
        <w:spacing w:after="0" w:line="360" w:lineRule="auto"/>
        <w:ind w:left="0"/>
        <w:jc w:val="center"/>
        <w:rPr>
          <w:rFonts w:eastAsia="Calibri" w:cs="Calibri"/>
          <w:b/>
          <w:bCs/>
          <w:sz w:val="24"/>
          <w:szCs w:val="24"/>
          <w:lang w:val="ro-RO"/>
        </w:rPr>
      </w:pPr>
      <w:r w:rsidRPr="00F12E17">
        <w:rPr>
          <w:rFonts w:eastAsia="Calibri" w:cs="Calibri"/>
          <w:b/>
          <w:bCs/>
          <w:sz w:val="24"/>
          <w:szCs w:val="24"/>
          <w:lang w:val="ro-RO"/>
        </w:rPr>
        <w:t>A</w:t>
      </w:r>
      <w:r w:rsidR="00D36CE4">
        <w:rPr>
          <w:rFonts w:eastAsia="Calibri" w:cs="Calibri"/>
          <w:b/>
          <w:bCs/>
          <w:sz w:val="24"/>
          <w:szCs w:val="24"/>
          <w:lang w:val="ro-RO"/>
        </w:rPr>
        <w:t>NUNȚ</w:t>
      </w:r>
    </w:p>
    <w:p w:rsidR="00D36CE4" w:rsidRPr="006B42E9" w:rsidRDefault="00D36CE4" w:rsidP="00D36CE4">
      <w:pPr>
        <w:spacing w:before="120" w:line="240" w:lineRule="auto"/>
        <w:ind w:left="0"/>
        <w:rPr>
          <w:b/>
          <w:lang w:val="ro-RO"/>
        </w:rPr>
      </w:pPr>
    </w:p>
    <w:p w:rsidR="00D36CE4" w:rsidRDefault="00D36CE4" w:rsidP="00D36CE4">
      <w:pPr>
        <w:spacing w:after="160" w:line="259" w:lineRule="auto"/>
        <w:ind w:left="0"/>
        <w:rPr>
          <w:rFonts w:eastAsiaTheme="minorHAnsi" w:cstheme="minorHAnsi"/>
          <w:b/>
          <w:bCs/>
          <w:lang w:val="ro-RO"/>
        </w:rPr>
      </w:pPr>
      <w:r w:rsidRPr="00741C11">
        <w:rPr>
          <w:rFonts w:eastAsiaTheme="minorHAnsi" w:cstheme="minorHAnsi"/>
          <w:b/>
          <w:lang w:val="ro-RO"/>
        </w:rPr>
        <w:t>Obiect consultare:</w:t>
      </w:r>
      <w:r>
        <w:rPr>
          <w:rFonts w:eastAsiaTheme="minorHAnsi" w:cstheme="minorHAnsi"/>
          <w:lang w:val="ro-RO"/>
        </w:rPr>
        <w:t xml:space="preserve"> valoare estimativă </w:t>
      </w:r>
      <w:r w:rsidRPr="00741C11">
        <w:rPr>
          <w:rFonts w:eastAsiaTheme="minorHAnsi" w:cstheme="minorHAnsi"/>
          <w:lang w:val="ro-RO"/>
        </w:rPr>
        <w:t>achiziție servicii de eval</w:t>
      </w:r>
      <w:r>
        <w:rPr>
          <w:rFonts w:eastAsiaTheme="minorHAnsi" w:cstheme="minorHAnsi"/>
          <w:lang w:val="ro-RO"/>
        </w:rPr>
        <w:t>uare bunuri mobile</w:t>
      </w:r>
      <w:r w:rsidRPr="00741C11">
        <w:rPr>
          <w:rFonts w:eastAsiaTheme="minorHAnsi" w:cstheme="minorHAnsi"/>
          <w:b/>
          <w:bCs/>
          <w:lang w:val="ro-RO"/>
        </w:rPr>
        <w:t>.</w:t>
      </w:r>
    </w:p>
    <w:p w:rsidR="00D36CE4" w:rsidRDefault="00D36CE4" w:rsidP="00D36CE4">
      <w:pPr>
        <w:spacing w:after="160" w:line="259" w:lineRule="auto"/>
        <w:ind w:left="0"/>
        <w:rPr>
          <w:rFonts w:eastAsiaTheme="minorHAnsi" w:cstheme="minorHAnsi"/>
          <w:bCs/>
          <w:lang w:val="ro-RO"/>
        </w:rPr>
      </w:pPr>
      <w:r>
        <w:rPr>
          <w:rFonts w:eastAsiaTheme="minorHAnsi" w:cstheme="minorHAnsi"/>
          <w:b/>
          <w:bCs/>
          <w:lang w:val="ro-RO"/>
        </w:rPr>
        <w:t xml:space="preserve">Denumire autoritate contractantă: </w:t>
      </w:r>
      <w:r w:rsidRPr="00101CE7">
        <w:rPr>
          <w:rFonts w:eastAsiaTheme="minorHAnsi" w:cstheme="minorHAnsi"/>
          <w:bCs/>
          <w:lang w:val="ro-RO"/>
        </w:rPr>
        <w:t xml:space="preserve">Agenția </w:t>
      </w:r>
      <w:r>
        <w:rPr>
          <w:rFonts w:eastAsiaTheme="minorHAnsi" w:cstheme="minorHAnsi"/>
          <w:bCs/>
          <w:lang w:val="ro-RO"/>
        </w:rPr>
        <w:t xml:space="preserve">Națională </w:t>
      </w:r>
      <w:r w:rsidRPr="00101CE7">
        <w:rPr>
          <w:rFonts w:eastAsiaTheme="minorHAnsi" w:cstheme="minorHAnsi"/>
          <w:bCs/>
          <w:lang w:val="ro-RO"/>
        </w:rPr>
        <w:t>de Administrare a Bunurilor Indisponibilizate</w:t>
      </w:r>
      <w:r>
        <w:rPr>
          <w:rFonts w:eastAsiaTheme="minorHAnsi" w:cstheme="minorHAnsi"/>
          <w:bCs/>
          <w:lang w:val="ro-RO"/>
        </w:rPr>
        <w:t xml:space="preserve"> (ANABI)</w:t>
      </w:r>
      <w:r w:rsidRPr="00101CE7">
        <w:rPr>
          <w:rFonts w:eastAsiaTheme="minorHAnsi" w:cstheme="minorHAnsi"/>
          <w:bCs/>
          <w:lang w:val="ro-RO"/>
        </w:rPr>
        <w:t>.</w:t>
      </w:r>
    </w:p>
    <w:p w:rsidR="00D36CE4" w:rsidRDefault="00D36CE4" w:rsidP="00D36CE4">
      <w:pPr>
        <w:spacing w:after="160" w:line="259" w:lineRule="auto"/>
        <w:ind w:left="0"/>
        <w:rPr>
          <w:rFonts w:eastAsiaTheme="minorHAnsi" w:cstheme="minorHAnsi"/>
          <w:bCs/>
          <w:lang w:val="ro-RO"/>
        </w:rPr>
      </w:pPr>
      <w:r w:rsidRPr="00EC4000">
        <w:rPr>
          <w:rFonts w:eastAsiaTheme="minorHAnsi" w:cstheme="minorHAnsi"/>
          <w:b/>
          <w:bCs/>
          <w:lang w:val="ro-RO"/>
        </w:rPr>
        <w:t>Date contact:</w:t>
      </w:r>
      <w:r>
        <w:rPr>
          <w:rFonts w:eastAsiaTheme="minorHAnsi" w:cstheme="minorHAnsi"/>
          <w:bCs/>
          <w:lang w:val="ro-RO"/>
        </w:rPr>
        <w:t xml:space="preserve"> Bd. Regina Elisabeta</w:t>
      </w:r>
      <w:r>
        <w:rPr>
          <w:rFonts w:eastAsiaTheme="minorHAnsi" w:cstheme="minorHAnsi"/>
          <w:bCs/>
          <w:lang w:val="ro-RO"/>
        </w:rPr>
        <w:t xml:space="preserve"> nr.</w:t>
      </w:r>
      <w:r>
        <w:rPr>
          <w:rFonts w:eastAsiaTheme="minorHAnsi" w:cstheme="minorHAnsi"/>
          <w:bCs/>
          <w:lang w:val="ro-RO"/>
        </w:rPr>
        <w:t xml:space="preserve"> </w:t>
      </w:r>
      <w:r>
        <w:rPr>
          <w:rFonts w:eastAsiaTheme="minorHAnsi" w:cstheme="minorHAnsi"/>
          <w:bCs/>
          <w:lang w:val="ro-RO"/>
        </w:rPr>
        <w:t>3, Sector 3, București.</w:t>
      </w:r>
    </w:p>
    <w:p w:rsidR="00D36CE4" w:rsidRPr="00101CE7" w:rsidRDefault="00D36CE4" w:rsidP="00D36CE4">
      <w:pPr>
        <w:spacing w:after="160" w:line="259" w:lineRule="auto"/>
        <w:ind w:left="0" w:right="134"/>
        <w:rPr>
          <w:rFonts w:eastAsiaTheme="minorHAnsi" w:cstheme="minorHAnsi"/>
          <w:lang w:val="ro-RO"/>
        </w:rPr>
      </w:pPr>
      <w:r w:rsidRPr="009B4F7B">
        <w:rPr>
          <w:rFonts w:eastAsiaTheme="minorHAnsi" w:cstheme="minorHAnsi"/>
          <w:b/>
          <w:bCs/>
          <w:lang w:val="ro-RO"/>
        </w:rPr>
        <w:t>Adrese de internet unde sunt publicate anunțurile</w:t>
      </w:r>
      <w:r>
        <w:rPr>
          <w:rFonts w:eastAsiaTheme="minorHAnsi" w:cstheme="minorHAnsi"/>
          <w:bCs/>
          <w:lang w:val="ro-RO"/>
        </w:rPr>
        <w:t xml:space="preserve">: </w:t>
      </w:r>
      <w:hyperlink r:id="rId8" w:history="1">
        <w:r w:rsidRPr="00546BF7">
          <w:rPr>
            <w:rStyle w:val="Hyperlink"/>
            <w:rFonts w:eastAsiaTheme="minorHAnsi" w:cstheme="minorHAnsi"/>
            <w:bCs/>
            <w:lang w:val="ro-RO"/>
          </w:rPr>
          <w:t>https://anabi.just.ro</w:t>
        </w:r>
      </w:hyperlink>
      <w:r>
        <w:rPr>
          <w:rFonts w:eastAsiaTheme="minorHAnsi" w:cstheme="minorHAnsi"/>
          <w:bCs/>
          <w:lang w:val="ro-RO"/>
        </w:rPr>
        <w:t xml:space="preserve">, </w:t>
      </w:r>
      <w:hyperlink r:id="rId9" w:history="1">
        <w:r w:rsidRPr="009F037B">
          <w:rPr>
            <w:rStyle w:val="Hyperlink"/>
            <w:rFonts w:eastAsiaTheme="minorHAnsi" w:cstheme="minorHAnsi"/>
            <w:bCs/>
            <w:lang w:val="ro-RO"/>
          </w:rPr>
          <w:t>www.e-licitatii.ro</w:t>
        </w:r>
      </w:hyperlink>
      <w:r>
        <w:rPr>
          <w:rFonts w:eastAsiaTheme="minorHAnsi" w:cstheme="minorHAnsi"/>
          <w:bCs/>
          <w:lang w:val="ro-RO"/>
        </w:rPr>
        <w:t xml:space="preserve">. </w:t>
      </w:r>
    </w:p>
    <w:p w:rsidR="00D36CE4" w:rsidRPr="00561A61" w:rsidRDefault="00D36CE4" w:rsidP="00D36CE4">
      <w:pPr>
        <w:autoSpaceDE w:val="0"/>
        <w:autoSpaceDN w:val="0"/>
        <w:adjustRightInd w:val="0"/>
        <w:ind w:left="0" w:right="134"/>
        <w:rPr>
          <w:lang w:val="ro-RO"/>
        </w:rPr>
      </w:pPr>
      <w:r w:rsidRPr="00741C11">
        <w:rPr>
          <w:rFonts w:eastAsiaTheme="minorHAnsi" w:cstheme="minorHAnsi"/>
          <w:b/>
          <w:lang w:val="ro-RO"/>
        </w:rPr>
        <w:t>Descriere consultare:</w:t>
      </w:r>
      <w:r w:rsidRPr="00741C11">
        <w:rPr>
          <w:rFonts w:eastAsiaTheme="minorHAnsi" w:cstheme="minorHAnsi"/>
          <w:lang w:val="ro-RO"/>
        </w:rPr>
        <w:t xml:space="preserve"> </w:t>
      </w:r>
      <w:r>
        <w:rPr>
          <w:rFonts w:eastAsiaTheme="minorHAnsi" w:cstheme="minorHAnsi"/>
          <w:lang w:val="ro-RO"/>
        </w:rPr>
        <w:t xml:space="preserve">Având în vedere caracterul specific al categoriilor de bunuri, </w:t>
      </w:r>
      <w:r w:rsidRPr="00741C11">
        <w:rPr>
          <w:rFonts w:eastAsiaTheme="minorHAnsi" w:cstheme="minorHAnsi"/>
          <w:lang w:val="ro-RO"/>
        </w:rPr>
        <w:t xml:space="preserve">ANABI </w:t>
      </w:r>
      <w:bookmarkStart w:id="0" w:name="_GoBack"/>
      <w:bookmarkEnd w:id="0"/>
      <w:r w:rsidRPr="00741C11">
        <w:rPr>
          <w:rFonts w:eastAsiaTheme="minorHAnsi" w:cstheme="minorHAnsi"/>
          <w:lang w:val="ro-RO"/>
        </w:rPr>
        <w:t xml:space="preserve">derulează un proces de consultare a pieței ca parte a procesului de achiziție privind </w:t>
      </w:r>
      <w:r>
        <w:rPr>
          <w:rFonts w:eastAsiaTheme="minorHAnsi" w:cstheme="minorHAnsi"/>
          <w:lang w:val="ro-RO"/>
        </w:rPr>
        <w:t xml:space="preserve">stabilirea valorii estimative a serviciilor de </w:t>
      </w:r>
      <w:r w:rsidRPr="00741C11">
        <w:rPr>
          <w:rFonts w:eastAsiaTheme="minorHAnsi" w:cstheme="minorHAnsi"/>
          <w:lang w:val="ro-RO"/>
        </w:rPr>
        <w:t>evaluar</w:t>
      </w:r>
      <w:r>
        <w:rPr>
          <w:rFonts w:eastAsiaTheme="minorHAnsi" w:cstheme="minorHAnsi"/>
          <w:lang w:val="ro-RO"/>
        </w:rPr>
        <w:t xml:space="preserve">e pentru următoarele bunuri mobile: 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color w:val="000000"/>
          <w:lang w:val="ro-RO"/>
        </w:rPr>
      </w:pPr>
      <w:r w:rsidRPr="008F5F38">
        <w:rPr>
          <w:color w:val="000000"/>
          <w:lang w:val="ro-RO"/>
        </w:rPr>
        <w:t>silicomangan (137 saci);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color w:val="000000"/>
          <w:lang w:val="ro-RO"/>
        </w:rPr>
      </w:pPr>
      <w:r w:rsidRPr="008F5F38">
        <w:rPr>
          <w:color w:val="000000"/>
          <w:lang w:val="ro-RO"/>
        </w:rPr>
        <w:t>ferosiliciu (62 saci + 2 saci umpluti ¼ + 1 sac umplut ½);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color w:val="000000"/>
          <w:lang w:val="ro-RO"/>
        </w:rPr>
      </w:pPr>
      <w:r w:rsidRPr="008F5F38">
        <w:rPr>
          <w:color w:val="000000"/>
          <w:lang w:val="ro-RO"/>
        </w:rPr>
        <w:t>feromolibden (47 saci + 1 sac umplut ¼) 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color w:val="000000"/>
          <w:lang w:val="ro-RO"/>
        </w:rPr>
      </w:pPr>
      <w:r w:rsidRPr="008F5F38">
        <w:rPr>
          <w:color w:val="000000"/>
          <w:lang w:val="ro-RO"/>
        </w:rPr>
        <w:t>ferocrom praf (10 saci);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lang w:val="ro-RO"/>
        </w:rPr>
      </w:pPr>
      <w:r w:rsidRPr="008F5F38">
        <w:rPr>
          <w:lang w:val="ro-RO"/>
        </w:rPr>
        <w:t>ferocrom (115 saci inscriptionati high carbon + 1 sac umplut ½);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lang w:val="ro-RO"/>
        </w:rPr>
      </w:pPr>
      <w:r w:rsidRPr="008F5F38">
        <w:rPr>
          <w:lang w:val="ro-RO"/>
        </w:rPr>
        <w:t>mangan (35 saci + 1 sac umplut ¼;);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color w:val="000000"/>
          <w:lang w:val="ro-RO"/>
        </w:rPr>
      </w:pPr>
      <w:r w:rsidRPr="008F5F38">
        <w:rPr>
          <w:color w:val="000000"/>
          <w:lang w:val="ro-RO"/>
        </w:rPr>
        <w:t>staniu (56 lingouri);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color w:val="000000"/>
          <w:lang w:val="ro-RO"/>
        </w:rPr>
      </w:pPr>
      <w:r w:rsidRPr="008F5F38">
        <w:rPr>
          <w:color w:val="000000"/>
          <w:lang w:val="ro-RO"/>
        </w:rPr>
        <w:t>ferocrom LC nitrogenat (17 butoaie metalice);</w:t>
      </w:r>
    </w:p>
    <w:p w:rsidR="00D36CE4" w:rsidRPr="008F5F38" w:rsidRDefault="00D36CE4" w:rsidP="00D36CE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color w:val="000000"/>
          <w:lang w:val="ro-RO"/>
        </w:rPr>
      </w:pPr>
      <w:r w:rsidRPr="008F5F38">
        <w:rPr>
          <w:color w:val="000000"/>
          <w:lang w:val="ro-RO"/>
        </w:rPr>
        <w:t>ferovanadium (4 butoaie).</w:t>
      </w:r>
    </w:p>
    <w:p w:rsidR="00D36CE4" w:rsidRPr="009F2E38" w:rsidRDefault="00D36CE4" w:rsidP="00D36CE4">
      <w:pPr>
        <w:pStyle w:val="ListParagraph"/>
        <w:spacing w:after="0" w:line="240" w:lineRule="auto"/>
        <w:ind w:right="134"/>
        <w:rPr>
          <w:lang w:val="ro-RO"/>
        </w:rPr>
      </w:pPr>
    </w:p>
    <w:p w:rsidR="00D36CE4" w:rsidRPr="00537585" w:rsidRDefault="00D36CE4" w:rsidP="00D36CE4">
      <w:pPr>
        <w:ind w:left="0" w:right="134"/>
        <w:rPr>
          <w:rFonts w:eastAsia="Times New Roman" w:cs="Calibri"/>
          <w:color w:val="000000"/>
          <w:lang w:val="ro-RO" w:eastAsia="ro-RO"/>
        </w:rPr>
      </w:pPr>
      <w:r w:rsidRPr="002014A5">
        <w:rPr>
          <w:rFonts w:eastAsia="Times New Roman" w:cs="Calibri"/>
          <w:color w:val="000000"/>
          <w:lang w:val="ro-RO" w:eastAsia="ro-RO"/>
        </w:rPr>
        <w:t>Raportul de evaluare va cuprinde inclusiv identificarea și determinarea elementelor chimice din componența bunurilor, determinarea concentrației</w:t>
      </w:r>
      <w:r w:rsidRPr="002014A5">
        <w:rPr>
          <w:lang w:val="ro-RO"/>
        </w:rPr>
        <w:t xml:space="preserve"> pe fiecare element chimic din compoziția acestor minereuri și cantitatea/</w:t>
      </w:r>
      <w:r>
        <w:rPr>
          <w:lang w:val="ro-RO"/>
        </w:rPr>
        <w:t>greutatea pentru fiecare categorie de bunuri.</w:t>
      </w:r>
    </w:p>
    <w:p w:rsidR="00D36CE4" w:rsidRDefault="00D36CE4" w:rsidP="00D36CE4">
      <w:pPr>
        <w:ind w:left="0" w:right="134"/>
        <w:rPr>
          <w:rFonts w:eastAsia="Times New Roman" w:cs="Calibri"/>
          <w:b/>
          <w:color w:val="000000"/>
          <w:lang w:val="ro-RO" w:eastAsia="ro-RO"/>
        </w:rPr>
      </w:pPr>
      <w:r>
        <w:rPr>
          <w:rFonts w:eastAsia="Times New Roman" w:cs="Calibri"/>
          <w:b/>
          <w:color w:val="000000"/>
          <w:lang w:val="ro-RO" w:eastAsia="ro-RO"/>
        </w:rPr>
        <w:t xml:space="preserve">Totodată, menționăm faptul că, Agenția nu deține </w:t>
      </w:r>
      <w:r w:rsidRPr="00561A61">
        <w:rPr>
          <w:rFonts w:eastAsia="Times New Roman" w:cs="Calibri"/>
          <w:b/>
          <w:color w:val="000000"/>
          <w:lang w:val="ro-RO" w:eastAsia="ro-RO"/>
        </w:rPr>
        <w:t>analizele unui laborator autorizat privind identificarea și determinarea elementelor chimice din componența bunurilor mobile supuse valorificării, respectiv determinarea concentrației pe fiecare element chimic din compoziția acestor minereuri</w:t>
      </w:r>
      <w:r>
        <w:rPr>
          <w:rFonts w:eastAsia="Times New Roman" w:cs="Calibri"/>
          <w:b/>
          <w:color w:val="000000"/>
          <w:lang w:val="ro-RO" w:eastAsia="ro-RO"/>
        </w:rPr>
        <w:t xml:space="preserve"> și cantitatea pentru toate bunurile mobile mai sus menționate.</w:t>
      </w:r>
    </w:p>
    <w:p w:rsidR="00D36CE4" w:rsidRPr="00741C11" w:rsidRDefault="00D36CE4" w:rsidP="00D36CE4">
      <w:pPr>
        <w:ind w:left="0" w:right="134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Aspecte supuse consultării</w:t>
      </w:r>
      <w:r w:rsidRPr="00741C11">
        <w:rPr>
          <w:rFonts w:eastAsia="Times New Roman" w:cs="Calibri"/>
          <w:color w:val="000000"/>
          <w:lang w:val="ro-RO" w:eastAsia="ro-RO"/>
        </w:rPr>
        <w:t xml:space="preserve">: ofertele financiare de evaluare </w:t>
      </w:r>
      <w:r>
        <w:rPr>
          <w:rFonts w:eastAsia="Times New Roman" w:cs="Calibri"/>
          <w:color w:val="000000"/>
          <w:lang w:val="ro-RO" w:eastAsia="ro-RO"/>
        </w:rPr>
        <w:t xml:space="preserve">pentru toate categoriile de bunuri mentionate </w:t>
      </w:r>
      <w:r w:rsidRPr="00741C11">
        <w:rPr>
          <w:rFonts w:eastAsia="Times New Roman" w:cs="Calibri"/>
          <w:color w:val="000000"/>
          <w:lang w:val="ro-RO" w:eastAsia="ro-RO"/>
        </w:rPr>
        <w:t xml:space="preserve">vor conține: tariful cu sau </w:t>
      </w:r>
      <w:r>
        <w:rPr>
          <w:rFonts w:eastAsia="Times New Roman" w:cs="Calibri"/>
          <w:color w:val="000000"/>
          <w:lang w:val="ro-RO" w:eastAsia="ro-RO"/>
        </w:rPr>
        <w:t>fără TVA</w:t>
      </w:r>
      <w:r w:rsidRPr="00741C11">
        <w:rPr>
          <w:rFonts w:eastAsia="Times New Roman" w:cs="Calibri"/>
          <w:color w:val="000000"/>
          <w:lang w:val="ro-RO" w:eastAsia="ro-RO"/>
        </w:rPr>
        <w:t>.</w:t>
      </w:r>
    </w:p>
    <w:p w:rsidR="00D36CE4" w:rsidRPr="00741C11" w:rsidRDefault="00D36CE4" w:rsidP="00D36CE4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Data limita transmitere propuneri:</w:t>
      </w:r>
      <w:r>
        <w:rPr>
          <w:rFonts w:eastAsia="Times New Roman" w:cs="Calibri"/>
          <w:color w:val="000000"/>
          <w:lang w:val="ro-RO" w:eastAsia="ro-RO"/>
        </w:rPr>
        <w:t xml:space="preserve"> 20.09.2019</w:t>
      </w:r>
    </w:p>
    <w:p w:rsidR="00D36CE4" w:rsidRPr="00741C11" w:rsidRDefault="00D36CE4" w:rsidP="00D36CE4">
      <w:pPr>
        <w:spacing w:after="160" w:line="259" w:lineRule="auto"/>
        <w:ind w:left="0"/>
        <w:rPr>
          <w:rFonts w:eastAsia="Times New Roman" w:cs="Calibri"/>
          <w:color w:val="000000"/>
          <w:lang w:val="ro-RO" w:eastAsia="ro-RO"/>
        </w:rPr>
      </w:pPr>
      <w:r w:rsidRPr="00741C11">
        <w:rPr>
          <w:rFonts w:eastAsia="Times New Roman" w:cs="Calibri"/>
          <w:b/>
          <w:color w:val="000000"/>
          <w:lang w:val="ro-RO" w:eastAsia="ro-RO"/>
        </w:rPr>
        <w:t>Data limita consultare</w:t>
      </w:r>
      <w:r w:rsidRPr="00741C11">
        <w:rPr>
          <w:rFonts w:eastAsia="Times New Roman" w:cs="Calibri"/>
          <w:color w:val="000000"/>
          <w:lang w:val="ro-RO" w:eastAsia="ro-RO"/>
        </w:rPr>
        <w:t xml:space="preserve">: </w:t>
      </w:r>
      <w:r>
        <w:rPr>
          <w:rFonts w:eastAsia="Times New Roman" w:cs="Calibri"/>
          <w:color w:val="000000"/>
          <w:lang w:val="ro-RO" w:eastAsia="ro-RO"/>
        </w:rPr>
        <w:t>23.09.2019</w:t>
      </w:r>
    </w:p>
    <w:p w:rsidR="00A8114D" w:rsidRPr="00D36CE4" w:rsidRDefault="00D36CE4" w:rsidP="00D36CE4">
      <w:pPr>
        <w:spacing w:after="160" w:line="259" w:lineRule="auto"/>
        <w:ind w:left="0" w:right="134"/>
        <w:rPr>
          <w:rFonts w:eastAsia="Times New Roman" w:cs="Calibri"/>
          <w:color w:val="000000"/>
          <w:lang w:val="ro-RO" w:eastAsia="ro-RO"/>
        </w:rPr>
      </w:pPr>
      <w:r w:rsidRPr="00EC4000">
        <w:rPr>
          <w:rFonts w:eastAsia="Times New Roman" w:cs="Calibri"/>
          <w:b/>
          <w:color w:val="000000"/>
          <w:lang w:val="ro-RO" w:eastAsia="ro-RO"/>
        </w:rPr>
        <w:t>Modalitate desfășurare:</w:t>
      </w:r>
      <w:r w:rsidRPr="00741C11">
        <w:rPr>
          <w:rFonts w:eastAsia="Times New Roman" w:cs="Calibri"/>
          <w:color w:val="000000"/>
          <w:lang w:val="ro-RO" w:eastAsia="ro-RO"/>
        </w:rPr>
        <w:t xml:space="preserve"> ofertele financiare, sugestiile vor fi transmise la adres</w:t>
      </w:r>
      <w:r>
        <w:rPr>
          <w:rFonts w:eastAsia="Times New Roman" w:cs="Calibri"/>
          <w:color w:val="000000"/>
          <w:lang w:val="ro-RO" w:eastAsia="ro-RO"/>
        </w:rPr>
        <w:t xml:space="preserve">a de email: </w:t>
      </w:r>
      <w:hyperlink r:id="rId10" w:history="1">
        <w:r w:rsidRPr="00175A27">
          <w:rPr>
            <w:rStyle w:val="Hyperlink"/>
            <w:rFonts w:eastAsia="Times New Roman" w:cs="Calibri"/>
            <w:lang w:val="ro-RO" w:eastAsia="ro-RO"/>
          </w:rPr>
          <w:t>achizițiipublice.anabi@just.ro</w:t>
        </w:r>
      </w:hyperlink>
      <w:r>
        <w:rPr>
          <w:rFonts w:eastAsia="Times New Roman" w:cs="Calibri"/>
          <w:color w:val="000000"/>
          <w:lang w:val="ro-RO" w:eastAsia="ro-RO"/>
        </w:rPr>
        <w:t>.</w:t>
      </w:r>
    </w:p>
    <w:sectPr w:rsidR="00A8114D" w:rsidRPr="00D36CE4" w:rsidSect="00D36CE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7" w:right="851" w:bottom="851" w:left="1418" w:header="425" w:footer="3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EF" w:rsidRDefault="000B3EEF" w:rsidP="00CD5B3B">
      <w:r>
        <w:separator/>
      </w:r>
    </w:p>
  </w:endnote>
  <w:endnote w:type="continuationSeparator" w:id="0">
    <w:p w:rsidR="000B3EEF" w:rsidRDefault="000B3EE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1E" w:rsidRPr="00131195" w:rsidRDefault="00C81F12" w:rsidP="00AF5795">
    <w:pPr>
      <w:pBdr>
        <w:top w:val="single" w:sz="4" w:space="1" w:color="auto"/>
        <w:between w:val="single" w:sz="4" w:space="1" w:color="auto"/>
      </w:pBdr>
      <w:tabs>
        <w:tab w:val="center" w:pos="4536"/>
        <w:tab w:val="right" w:pos="9072"/>
      </w:tabs>
      <w:spacing w:after="0" w:line="240" w:lineRule="auto"/>
      <w:ind w:left="0"/>
      <w:rPr>
        <w:rFonts w:eastAsia="Calibri"/>
        <w:sz w:val="16"/>
        <w:szCs w:val="16"/>
        <w:lang w:val="ro-RO"/>
      </w:rPr>
    </w:pPr>
    <w:r>
      <w:rPr>
        <w:rFonts w:eastAsia="Calibri"/>
        <w:sz w:val="16"/>
        <w:szCs w:val="16"/>
        <w:lang w:val="ro-RO"/>
      </w:rPr>
      <w:t xml:space="preserve">Str. Regina Elisabeta nr. 3, sector 3, </w:t>
    </w:r>
    <w:r w:rsidR="0007011E" w:rsidRPr="00131195">
      <w:rPr>
        <w:rFonts w:eastAsia="Calibri"/>
        <w:sz w:val="16"/>
        <w:szCs w:val="16"/>
        <w:lang w:val="ro-RO"/>
      </w:rPr>
      <w:t xml:space="preserve"> București, România                             </w:t>
    </w:r>
    <w:r w:rsidR="00C93A50">
      <w:rPr>
        <w:rFonts w:eastAsia="Calibri"/>
        <w:sz w:val="16"/>
        <w:szCs w:val="16"/>
        <w:lang w:val="ro-RO"/>
      </w:rPr>
      <w:tab/>
    </w:r>
    <w:r w:rsidR="0007011E" w:rsidRPr="0007011E">
      <w:rPr>
        <w:rFonts w:eastAsia="Calibri"/>
        <w:sz w:val="16"/>
        <w:szCs w:val="16"/>
        <w:lang w:val="ro-RO"/>
      </w:rPr>
      <w:t xml:space="preserve">Pagina  </w:t>
    </w:r>
    <w:r w:rsidR="0007011E" w:rsidRPr="0007011E">
      <w:rPr>
        <w:sz w:val="16"/>
        <w:szCs w:val="16"/>
      </w:rPr>
      <w:fldChar w:fldCharType="begin"/>
    </w:r>
    <w:r w:rsidR="0007011E" w:rsidRPr="0007011E">
      <w:rPr>
        <w:sz w:val="16"/>
        <w:szCs w:val="16"/>
      </w:rPr>
      <w:instrText xml:space="preserve"> PAGE   \* MERGEFORMAT </w:instrText>
    </w:r>
    <w:r w:rsidR="0007011E" w:rsidRPr="0007011E">
      <w:rPr>
        <w:sz w:val="16"/>
        <w:szCs w:val="16"/>
      </w:rPr>
      <w:fldChar w:fldCharType="separate"/>
    </w:r>
    <w:r w:rsidR="00D36CE4">
      <w:rPr>
        <w:noProof/>
        <w:sz w:val="16"/>
        <w:szCs w:val="16"/>
      </w:rPr>
      <w:t>2</w:t>
    </w:r>
    <w:r w:rsidR="0007011E" w:rsidRPr="0007011E">
      <w:rPr>
        <w:noProof/>
        <w:sz w:val="16"/>
        <w:szCs w:val="16"/>
      </w:rPr>
      <w:fldChar w:fldCharType="end"/>
    </w:r>
    <w:r w:rsidR="00741C11">
      <w:rPr>
        <w:noProof/>
        <w:sz w:val="16"/>
        <w:szCs w:val="16"/>
      </w:rPr>
      <w:t xml:space="preserve"> din 2</w:t>
    </w:r>
  </w:p>
  <w:p w:rsidR="0007011E" w:rsidRPr="00131195" w:rsidRDefault="0007011E" w:rsidP="0007011E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131195">
      <w:rPr>
        <w:rFonts w:eastAsia="Calibri"/>
        <w:sz w:val="16"/>
        <w:szCs w:val="16"/>
        <w:lang w:val="ro-RO"/>
      </w:rPr>
      <w:t xml:space="preserve">Tel. +4 037 257 30 00 ; Fax  +4 037 227 14 34; </w:t>
    </w:r>
  </w:p>
  <w:p w:rsidR="0007011E" w:rsidRPr="00131195" w:rsidRDefault="0007011E" w:rsidP="0007011E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131195">
      <w:rPr>
        <w:rFonts w:eastAsia="Calibri"/>
        <w:sz w:val="16"/>
        <w:szCs w:val="16"/>
        <w:lang w:val="ro-RO"/>
      </w:rPr>
      <w:t xml:space="preserve">Email. anabi@just.ro                                  </w:t>
    </w:r>
  </w:p>
  <w:p w:rsidR="00030A85" w:rsidRDefault="0007011E" w:rsidP="0007011E">
    <w:pPr>
      <w:pStyle w:val="Footer"/>
      <w:ind w:left="0"/>
    </w:pPr>
    <w:r w:rsidRPr="00131195">
      <w:rPr>
        <w:rFonts w:eastAsia="Calibri"/>
        <w:sz w:val="16"/>
        <w:szCs w:val="16"/>
        <w:lang w:val="ro-RO"/>
      </w:rPr>
      <w:t>www.just.ro; anabi.just.ro</w:t>
    </w:r>
  </w:p>
  <w:p w:rsidR="00554B6C" w:rsidRPr="00DA68C1" w:rsidRDefault="00554B6C" w:rsidP="00850D6C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58" w:rsidRPr="00FB3282" w:rsidRDefault="00C81F12" w:rsidP="00F4662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>Bd. Regina Elisabeta nr</w:t>
    </w:r>
    <w:r w:rsidR="00EC4000">
      <w:rPr>
        <w:rFonts w:eastAsia="Calibri"/>
        <w:sz w:val="16"/>
        <w:szCs w:val="16"/>
        <w:lang w:val="ro-RO"/>
      </w:rPr>
      <w:t>. 3</w:t>
    </w:r>
    <w:r w:rsidRPr="00FB3282">
      <w:rPr>
        <w:rFonts w:eastAsia="Calibri"/>
        <w:sz w:val="16"/>
        <w:szCs w:val="16"/>
        <w:lang w:val="ro-RO"/>
      </w:rPr>
      <w:t>, sector 3,</w:t>
    </w:r>
    <w:r w:rsidR="00681658" w:rsidRPr="00FB3282">
      <w:rPr>
        <w:rFonts w:eastAsia="Calibri"/>
        <w:sz w:val="16"/>
        <w:szCs w:val="16"/>
        <w:lang w:val="ro-RO"/>
      </w:rPr>
      <w:t xml:space="preserve"> București, România                             </w:t>
    </w:r>
    <w:r w:rsidR="00681658" w:rsidRPr="00FB3282">
      <w:rPr>
        <w:rFonts w:eastAsia="Calibri"/>
        <w:sz w:val="16"/>
        <w:szCs w:val="16"/>
        <w:lang w:val="ro-RO"/>
      </w:rPr>
      <w:tab/>
      <w:t xml:space="preserve">Pagina  </w:t>
    </w:r>
    <w:r w:rsidR="00681658" w:rsidRPr="00FB3282">
      <w:rPr>
        <w:sz w:val="16"/>
        <w:szCs w:val="16"/>
      </w:rPr>
      <w:fldChar w:fldCharType="begin"/>
    </w:r>
    <w:r w:rsidR="00681658" w:rsidRPr="00FB3282">
      <w:rPr>
        <w:sz w:val="16"/>
        <w:szCs w:val="16"/>
      </w:rPr>
      <w:instrText xml:space="preserve"> PAGE   \* MERGEFORMAT </w:instrText>
    </w:r>
    <w:r w:rsidR="00681658" w:rsidRPr="00FB3282">
      <w:rPr>
        <w:sz w:val="16"/>
        <w:szCs w:val="16"/>
      </w:rPr>
      <w:fldChar w:fldCharType="separate"/>
    </w:r>
    <w:r w:rsidR="00D36CE4">
      <w:rPr>
        <w:noProof/>
        <w:sz w:val="16"/>
        <w:szCs w:val="16"/>
      </w:rPr>
      <w:t>1</w:t>
    </w:r>
    <w:r w:rsidR="00681658" w:rsidRPr="00FB3282">
      <w:rPr>
        <w:noProof/>
        <w:sz w:val="16"/>
        <w:szCs w:val="16"/>
      </w:rPr>
      <w:fldChar w:fldCharType="end"/>
    </w:r>
    <w:r w:rsidR="00477D88" w:rsidRPr="00FB3282">
      <w:rPr>
        <w:noProof/>
        <w:sz w:val="16"/>
        <w:szCs w:val="16"/>
      </w:rPr>
      <w:t xml:space="preserve"> din </w:t>
    </w:r>
    <w:r w:rsidR="00E00764">
      <w:rPr>
        <w:noProof/>
        <w:sz w:val="16"/>
        <w:szCs w:val="16"/>
      </w:rPr>
      <w:t>1</w:t>
    </w:r>
  </w:p>
  <w:p w:rsidR="00681658" w:rsidRPr="00FB3282" w:rsidRDefault="00681658" w:rsidP="00681658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 xml:space="preserve">Tel. +4 037 257 30 00 ; Fax  +4 037 227 14 34; </w:t>
    </w:r>
  </w:p>
  <w:p w:rsidR="00681658" w:rsidRPr="00FB3282" w:rsidRDefault="00681658" w:rsidP="00681658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Calibri"/>
        <w:sz w:val="16"/>
        <w:szCs w:val="16"/>
        <w:lang w:val="ro-RO"/>
      </w:rPr>
    </w:pPr>
    <w:r w:rsidRPr="00FB3282">
      <w:rPr>
        <w:rFonts w:eastAsia="Calibri"/>
        <w:sz w:val="16"/>
        <w:szCs w:val="16"/>
        <w:lang w:val="ro-RO"/>
      </w:rPr>
      <w:t xml:space="preserve">Email. anabi@just.ro                                  </w:t>
    </w:r>
  </w:p>
  <w:p w:rsidR="00681658" w:rsidRPr="00FB3282" w:rsidRDefault="00681658" w:rsidP="00681658">
    <w:pPr>
      <w:pStyle w:val="Footer"/>
      <w:ind w:left="0"/>
      <w:rPr>
        <w:sz w:val="16"/>
        <w:szCs w:val="16"/>
      </w:rPr>
    </w:pPr>
    <w:r w:rsidRPr="00FB3282">
      <w:rPr>
        <w:rFonts w:eastAsia="Calibri"/>
        <w:sz w:val="16"/>
        <w:szCs w:val="16"/>
        <w:lang w:val="ro-RO"/>
      </w:rPr>
      <w:t>www.just.ro; anabi.just.ro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EF" w:rsidRDefault="000B3EEF" w:rsidP="00CD5B3B">
      <w:r>
        <w:separator/>
      </w:r>
    </w:p>
  </w:footnote>
  <w:footnote w:type="continuationSeparator" w:id="0">
    <w:p w:rsidR="000B3EEF" w:rsidRDefault="000B3EE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6C" w:rsidRDefault="00554B6C" w:rsidP="008A4458">
    <w:pPr>
      <w:pStyle w:val="Header"/>
      <w:ind w:left="0"/>
    </w:pPr>
  </w:p>
  <w:p w:rsidR="00554B6C" w:rsidRPr="00CD5B3B" w:rsidRDefault="005E3D3F" w:rsidP="008A4458">
    <w:pPr>
      <w:pStyle w:val="Header"/>
      <w:ind w:left="0"/>
    </w:pPr>
    <w:r w:rsidRPr="005E3D3F">
      <w:rPr>
        <w:noProof/>
        <w:lang w:val="ro-RO" w:eastAsia="ro-RO"/>
      </w:rPr>
      <w:drawing>
        <wp:inline distT="0" distB="0" distL="0" distR="0" wp14:anchorId="53762EC2" wp14:editId="77EC9CC5">
          <wp:extent cx="3328035" cy="700405"/>
          <wp:effectExtent l="0" t="0" r="5715" b="4445"/>
          <wp:docPr id="34" name="Picture 34" descr="C:\Users\alexandra.toader\Desktop\Logo nou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a.toader\Desktop\Logo nou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6" w:type="dxa"/>
      <w:tblInd w:w="-42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5030"/>
    </w:tblGrid>
    <w:tr w:rsidR="0056660B" w:rsidTr="00064B4E">
      <w:trPr>
        <w:trHeight w:val="1679"/>
      </w:trPr>
      <w:tc>
        <w:tcPr>
          <w:tcW w:w="442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90"/>
            <w:gridCol w:w="3925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3CBFBB91" wp14:editId="228B7D5F">
                      <wp:extent cx="4437380" cy="1256665"/>
                      <wp:effectExtent l="0" t="0" r="1270" b="635"/>
                      <wp:docPr id="35" name="Picture 35" descr="C:\Users\octavian.bira\AppData\Local\Microsoft\Windows\INetCache\Content.Word\anabi_logo_vector refacut stema noua R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ctavian.bira\AppData\Local\Microsoft\Windows\INetCache\Content.Word\anabi_logo_vector refacut stema noua R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37380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</w:p>
            </w:tc>
          </w:tr>
        </w:tbl>
        <w:p w:rsidR="0056660B" w:rsidRDefault="0056660B" w:rsidP="0056660B"/>
      </w:tc>
      <w:tc>
        <w:tcPr>
          <w:tcW w:w="2492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04"/>
            <w:gridCol w:w="4111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706D773A" wp14:editId="3283D379">
                      <wp:extent cx="1277756" cy="903464"/>
                      <wp:effectExtent l="0" t="0" r="0" b="0"/>
                      <wp:docPr id="36" name="Imagine 1" descr="C:\Users\leonard.anghel\Desktop\logo_centenar_ROMANI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leonard.anghel\Desktop\logo_centenar_ROMANI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9455" cy="925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6660B" w:rsidRDefault="0056660B" w:rsidP="0056660B"/>
      </w:tc>
    </w:tr>
  </w:tbl>
  <w:p w:rsidR="00554B6C" w:rsidRDefault="00554B6C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F75"/>
    <w:multiLevelType w:val="hybridMultilevel"/>
    <w:tmpl w:val="EC0292F0"/>
    <w:lvl w:ilvl="0" w:tplc="82F67CD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643"/>
    <w:multiLevelType w:val="hybridMultilevel"/>
    <w:tmpl w:val="E976E78A"/>
    <w:lvl w:ilvl="0" w:tplc="E840A21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445"/>
    <w:multiLevelType w:val="hybridMultilevel"/>
    <w:tmpl w:val="91EEC0D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4DDC"/>
    <w:multiLevelType w:val="hybridMultilevel"/>
    <w:tmpl w:val="6ECE44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05488"/>
    <w:multiLevelType w:val="hybridMultilevel"/>
    <w:tmpl w:val="C8841B60"/>
    <w:lvl w:ilvl="0" w:tplc="E2127DB4">
      <w:numFmt w:val="bullet"/>
      <w:lvlText w:val="-"/>
      <w:lvlJc w:val="left"/>
      <w:pPr>
        <w:ind w:left="4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EF04AF"/>
    <w:multiLevelType w:val="hybridMultilevel"/>
    <w:tmpl w:val="9A623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3A7F"/>
    <w:multiLevelType w:val="hybridMultilevel"/>
    <w:tmpl w:val="5C48AEC2"/>
    <w:lvl w:ilvl="0" w:tplc="BB484E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5913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A6726"/>
    <w:multiLevelType w:val="hybridMultilevel"/>
    <w:tmpl w:val="9E90A848"/>
    <w:lvl w:ilvl="0" w:tplc="B2B2088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1C93"/>
    <w:multiLevelType w:val="hybridMultilevel"/>
    <w:tmpl w:val="DBB07206"/>
    <w:lvl w:ilvl="0" w:tplc="9D06876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FB6"/>
    <w:multiLevelType w:val="hybridMultilevel"/>
    <w:tmpl w:val="3E802B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15D7"/>
    <w:multiLevelType w:val="hybridMultilevel"/>
    <w:tmpl w:val="1B3057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2E54"/>
    <w:multiLevelType w:val="hybridMultilevel"/>
    <w:tmpl w:val="F7F2B5CE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BCD6438"/>
    <w:multiLevelType w:val="hybridMultilevel"/>
    <w:tmpl w:val="EED26D28"/>
    <w:lvl w:ilvl="0" w:tplc="82B25BF2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4A77"/>
    <w:multiLevelType w:val="hybridMultilevel"/>
    <w:tmpl w:val="DB46C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60D55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5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C4F"/>
    <w:rsid w:val="0000111C"/>
    <w:rsid w:val="00005090"/>
    <w:rsid w:val="00012C5C"/>
    <w:rsid w:val="000160BA"/>
    <w:rsid w:val="0001733C"/>
    <w:rsid w:val="00023330"/>
    <w:rsid w:val="00030A85"/>
    <w:rsid w:val="00036CF6"/>
    <w:rsid w:val="00045DC8"/>
    <w:rsid w:val="00054A5B"/>
    <w:rsid w:val="00054B9D"/>
    <w:rsid w:val="00063392"/>
    <w:rsid w:val="0007011E"/>
    <w:rsid w:val="00071426"/>
    <w:rsid w:val="00075676"/>
    <w:rsid w:val="0007653E"/>
    <w:rsid w:val="0008135C"/>
    <w:rsid w:val="000914AF"/>
    <w:rsid w:val="0009647C"/>
    <w:rsid w:val="000965A2"/>
    <w:rsid w:val="000A1E01"/>
    <w:rsid w:val="000A451E"/>
    <w:rsid w:val="000A4F97"/>
    <w:rsid w:val="000B3DD0"/>
    <w:rsid w:val="000B3EEF"/>
    <w:rsid w:val="000D284E"/>
    <w:rsid w:val="000D2DE2"/>
    <w:rsid w:val="000D3C46"/>
    <w:rsid w:val="000D6C96"/>
    <w:rsid w:val="000D77AB"/>
    <w:rsid w:val="000E1CFB"/>
    <w:rsid w:val="000E49E0"/>
    <w:rsid w:val="000E70BD"/>
    <w:rsid w:val="000F0AC7"/>
    <w:rsid w:val="000F52D3"/>
    <w:rsid w:val="000F5B26"/>
    <w:rsid w:val="00100F36"/>
    <w:rsid w:val="00101CE7"/>
    <w:rsid w:val="001047BA"/>
    <w:rsid w:val="001100CE"/>
    <w:rsid w:val="00112696"/>
    <w:rsid w:val="00112757"/>
    <w:rsid w:val="00113348"/>
    <w:rsid w:val="00120938"/>
    <w:rsid w:val="00121140"/>
    <w:rsid w:val="00125E0E"/>
    <w:rsid w:val="001276D4"/>
    <w:rsid w:val="001329DA"/>
    <w:rsid w:val="00133BC1"/>
    <w:rsid w:val="00135CC8"/>
    <w:rsid w:val="001364A2"/>
    <w:rsid w:val="00136C3E"/>
    <w:rsid w:val="00140E6A"/>
    <w:rsid w:val="001435CB"/>
    <w:rsid w:val="00154CAD"/>
    <w:rsid w:val="00161F64"/>
    <w:rsid w:val="001653FB"/>
    <w:rsid w:val="001749D3"/>
    <w:rsid w:val="00176A5F"/>
    <w:rsid w:val="00177938"/>
    <w:rsid w:val="00182F0F"/>
    <w:rsid w:val="0019010A"/>
    <w:rsid w:val="001926AA"/>
    <w:rsid w:val="0019325C"/>
    <w:rsid w:val="00194D6A"/>
    <w:rsid w:val="001952DD"/>
    <w:rsid w:val="00196140"/>
    <w:rsid w:val="00196863"/>
    <w:rsid w:val="001A0E76"/>
    <w:rsid w:val="001A3D58"/>
    <w:rsid w:val="001D06FB"/>
    <w:rsid w:val="001E0887"/>
    <w:rsid w:val="001E08E9"/>
    <w:rsid w:val="001E0B40"/>
    <w:rsid w:val="001E561A"/>
    <w:rsid w:val="001F1D9D"/>
    <w:rsid w:val="00200B3D"/>
    <w:rsid w:val="00200BC5"/>
    <w:rsid w:val="0020204B"/>
    <w:rsid w:val="00211F4B"/>
    <w:rsid w:val="00212A34"/>
    <w:rsid w:val="00217144"/>
    <w:rsid w:val="00225942"/>
    <w:rsid w:val="00241214"/>
    <w:rsid w:val="00246B94"/>
    <w:rsid w:val="0025294D"/>
    <w:rsid w:val="00255EE7"/>
    <w:rsid w:val="002574E0"/>
    <w:rsid w:val="00257DF6"/>
    <w:rsid w:val="002631F4"/>
    <w:rsid w:val="00265013"/>
    <w:rsid w:val="00277208"/>
    <w:rsid w:val="002776BE"/>
    <w:rsid w:val="00290093"/>
    <w:rsid w:val="002916B8"/>
    <w:rsid w:val="0029232F"/>
    <w:rsid w:val="00297F6C"/>
    <w:rsid w:val="002A106C"/>
    <w:rsid w:val="002A356C"/>
    <w:rsid w:val="002A5742"/>
    <w:rsid w:val="002B2D08"/>
    <w:rsid w:val="002B3A93"/>
    <w:rsid w:val="002B57D0"/>
    <w:rsid w:val="002B74FD"/>
    <w:rsid w:val="002C1AF2"/>
    <w:rsid w:val="002C44F7"/>
    <w:rsid w:val="002C4996"/>
    <w:rsid w:val="002C5B8C"/>
    <w:rsid w:val="002C5E09"/>
    <w:rsid w:val="002E383A"/>
    <w:rsid w:val="002E3856"/>
    <w:rsid w:val="002E42AA"/>
    <w:rsid w:val="002F2D6A"/>
    <w:rsid w:val="002F4989"/>
    <w:rsid w:val="002F6CD2"/>
    <w:rsid w:val="00300C56"/>
    <w:rsid w:val="00300E71"/>
    <w:rsid w:val="00301F5F"/>
    <w:rsid w:val="00312E32"/>
    <w:rsid w:val="00315AF3"/>
    <w:rsid w:val="0032422C"/>
    <w:rsid w:val="003251D9"/>
    <w:rsid w:val="00325700"/>
    <w:rsid w:val="00326666"/>
    <w:rsid w:val="00327943"/>
    <w:rsid w:val="00327ADF"/>
    <w:rsid w:val="003329E4"/>
    <w:rsid w:val="00334A84"/>
    <w:rsid w:val="0034009D"/>
    <w:rsid w:val="003431A6"/>
    <w:rsid w:val="00347535"/>
    <w:rsid w:val="00350017"/>
    <w:rsid w:val="00360EA2"/>
    <w:rsid w:val="00365DC7"/>
    <w:rsid w:val="00382BA2"/>
    <w:rsid w:val="00384B2F"/>
    <w:rsid w:val="00384E91"/>
    <w:rsid w:val="003B11B7"/>
    <w:rsid w:val="003B48DD"/>
    <w:rsid w:val="003B5690"/>
    <w:rsid w:val="003C150F"/>
    <w:rsid w:val="003C42B3"/>
    <w:rsid w:val="003C69F4"/>
    <w:rsid w:val="003D5FF2"/>
    <w:rsid w:val="003E2E6C"/>
    <w:rsid w:val="003E7FA0"/>
    <w:rsid w:val="003F15D5"/>
    <w:rsid w:val="003F269B"/>
    <w:rsid w:val="003F630A"/>
    <w:rsid w:val="0040147C"/>
    <w:rsid w:val="004020FC"/>
    <w:rsid w:val="004026CA"/>
    <w:rsid w:val="004073F9"/>
    <w:rsid w:val="00422BAE"/>
    <w:rsid w:val="004256CE"/>
    <w:rsid w:val="004330DC"/>
    <w:rsid w:val="004377CA"/>
    <w:rsid w:val="00442C13"/>
    <w:rsid w:val="004613B6"/>
    <w:rsid w:val="00462299"/>
    <w:rsid w:val="00474540"/>
    <w:rsid w:val="00474F80"/>
    <w:rsid w:val="00477D88"/>
    <w:rsid w:val="004850C2"/>
    <w:rsid w:val="00486236"/>
    <w:rsid w:val="004900EC"/>
    <w:rsid w:val="00490CEC"/>
    <w:rsid w:val="00493AD5"/>
    <w:rsid w:val="004A1359"/>
    <w:rsid w:val="004A39E8"/>
    <w:rsid w:val="004A4368"/>
    <w:rsid w:val="004A519A"/>
    <w:rsid w:val="004B3E0A"/>
    <w:rsid w:val="004C165C"/>
    <w:rsid w:val="004C6C2C"/>
    <w:rsid w:val="004D15CE"/>
    <w:rsid w:val="004D2A9D"/>
    <w:rsid w:val="004D6F97"/>
    <w:rsid w:val="004F094D"/>
    <w:rsid w:val="004F36BE"/>
    <w:rsid w:val="005055A7"/>
    <w:rsid w:val="005074AF"/>
    <w:rsid w:val="00525FB3"/>
    <w:rsid w:val="00530005"/>
    <w:rsid w:val="005324C9"/>
    <w:rsid w:val="0054129C"/>
    <w:rsid w:val="00542631"/>
    <w:rsid w:val="00543045"/>
    <w:rsid w:val="0054417A"/>
    <w:rsid w:val="00545163"/>
    <w:rsid w:val="00545CFC"/>
    <w:rsid w:val="00554B6C"/>
    <w:rsid w:val="00560C98"/>
    <w:rsid w:val="00563A29"/>
    <w:rsid w:val="0056422F"/>
    <w:rsid w:val="0056660B"/>
    <w:rsid w:val="005B7E7D"/>
    <w:rsid w:val="005C3AC3"/>
    <w:rsid w:val="005C4743"/>
    <w:rsid w:val="005C6DE4"/>
    <w:rsid w:val="005D412D"/>
    <w:rsid w:val="005D4367"/>
    <w:rsid w:val="005E316A"/>
    <w:rsid w:val="005E3D3F"/>
    <w:rsid w:val="005E6FFA"/>
    <w:rsid w:val="005E74E2"/>
    <w:rsid w:val="005E7ACC"/>
    <w:rsid w:val="005F5F8C"/>
    <w:rsid w:val="006015B6"/>
    <w:rsid w:val="00604DD4"/>
    <w:rsid w:val="00605FAD"/>
    <w:rsid w:val="00607A7A"/>
    <w:rsid w:val="00610723"/>
    <w:rsid w:val="00611023"/>
    <w:rsid w:val="00620224"/>
    <w:rsid w:val="00622752"/>
    <w:rsid w:val="00624CFF"/>
    <w:rsid w:val="00626E07"/>
    <w:rsid w:val="00627C75"/>
    <w:rsid w:val="006376EE"/>
    <w:rsid w:val="00640B6C"/>
    <w:rsid w:val="00643207"/>
    <w:rsid w:val="00646625"/>
    <w:rsid w:val="00650547"/>
    <w:rsid w:val="00650F76"/>
    <w:rsid w:val="006544D9"/>
    <w:rsid w:val="006605F1"/>
    <w:rsid w:val="00660825"/>
    <w:rsid w:val="00660F11"/>
    <w:rsid w:val="00677FEB"/>
    <w:rsid w:val="00681658"/>
    <w:rsid w:val="00685520"/>
    <w:rsid w:val="00690745"/>
    <w:rsid w:val="006953A0"/>
    <w:rsid w:val="006A018E"/>
    <w:rsid w:val="006A263E"/>
    <w:rsid w:val="006B0004"/>
    <w:rsid w:val="006B09F0"/>
    <w:rsid w:val="006B528B"/>
    <w:rsid w:val="006B590B"/>
    <w:rsid w:val="006C0104"/>
    <w:rsid w:val="006C065D"/>
    <w:rsid w:val="006C1832"/>
    <w:rsid w:val="006D2A41"/>
    <w:rsid w:val="006D3BB9"/>
    <w:rsid w:val="006E19C1"/>
    <w:rsid w:val="006E1FF5"/>
    <w:rsid w:val="006E2E9A"/>
    <w:rsid w:val="006F056D"/>
    <w:rsid w:val="006F6D36"/>
    <w:rsid w:val="00710FFF"/>
    <w:rsid w:val="00722BEC"/>
    <w:rsid w:val="00725D6E"/>
    <w:rsid w:val="00725F2C"/>
    <w:rsid w:val="007261DD"/>
    <w:rsid w:val="00726997"/>
    <w:rsid w:val="007305E4"/>
    <w:rsid w:val="00741C11"/>
    <w:rsid w:val="007430C0"/>
    <w:rsid w:val="00743D2D"/>
    <w:rsid w:val="0074572C"/>
    <w:rsid w:val="007505AF"/>
    <w:rsid w:val="00765B7F"/>
    <w:rsid w:val="00766E0E"/>
    <w:rsid w:val="0077652E"/>
    <w:rsid w:val="007771A5"/>
    <w:rsid w:val="007826FC"/>
    <w:rsid w:val="00783581"/>
    <w:rsid w:val="00783749"/>
    <w:rsid w:val="00790A9E"/>
    <w:rsid w:val="00792BCC"/>
    <w:rsid w:val="00792F5C"/>
    <w:rsid w:val="00795D93"/>
    <w:rsid w:val="007A45BE"/>
    <w:rsid w:val="007B346B"/>
    <w:rsid w:val="007B3DEC"/>
    <w:rsid w:val="007B56BE"/>
    <w:rsid w:val="007C15BA"/>
    <w:rsid w:val="007D3302"/>
    <w:rsid w:val="007E1302"/>
    <w:rsid w:val="007E57D6"/>
    <w:rsid w:val="00803CF8"/>
    <w:rsid w:val="0080737C"/>
    <w:rsid w:val="0080753D"/>
    <w:rsid w:val="0081660F"/>
    <w:rsid w:val="0082155A"/>
    <w:rsid w:val="00822DF3"/>
    <w:rsid w:val="008231E2"/>
    <w:rsid w:val="00824AEE"/>
    <w:rsid w:val="00840F14"/>
    <w:rsid w:val="00843F55"/>
    <w:rsid w:val="0084465E"/>
    <w:rsid w:val="00844C74"/>
    <w:rsid w:val="00850D6C"/>
    <w:rsid w:val="00863E63"/>
    <w:rsid w:val="008663C4"/>
    <w:rsid w:val="00871DA8"/>
    <w:rsid w:val="00893DEB"/>
    <w:rsid w:val="00895213"/>
    <w:rsid w:val="008A2AC0"/>
    <w:rsid w:val="008A4458"/>
    <w:rsid w:val="008A6531"/>
    <w:rsid w:val="008B313A"/>
    <w:rsid w:val="008B63B2"/>
    <w:rsid w:val="008C213E"/>
    <w:rsid w:val="008C313E"/>
    <w:rsid w:val="008C6E10"/>
    <w:rsid w:val="008D2842"/>
    <w:rsid w:val="008E2F13"/>
    <w:rsid w:val="008E335C"/>
    <w:rsid w:val="008E46AF"/>
    <w:rsid w:val="008F62B8"/>
    <w:rsid w:val="009015B7"/>
    <w:rsid w:val="009021B7"/>
    <w:rsid w:val="009036BE"/>
    <w:rsid w:val="009065A3"/>
    <w:rsid w:val="00911288"/>
    <w:rsid w:val="00913B2D"/>
    <w:rsid w:val="00913FF0"/>
    <w:rsid w:val="00915096"/>
    <w:rsid w:val="00933EE9"/>
    <w:rsid w:val="009419AB"/>
    <w:rsid w:val="0094530E"/>
    <w:rsid w:val="009774EB"/>
    <w:rsid w:val="009802AE"/>
    <w:rsid w:val="0098202E"/>
    <w:rsid w:val="00993F44"/>
    <w:rsid w:val="00994111"/>
    <w:rsid w:val="00995D3F"/>
    <w:rsid w:val="00996CDD"/>
    <w:rsid w:val="0099797A"/>
    <w:rsid w:val="009B1BF0"/>
    <w:rsid w:val="009B4F4C"/>
    <w:rsid w:val="009B4F7B"/>
    <w:rsid w:val="009C1C90"/>
    <w:rsid w:val="009E250A"/>
    <w:rsid w:val="009E7609"/>
    <w:rsid w:val="009F13D2"/>
    <w:rsid w:val="00A00221"/>
    <w:rsid w:val="00A0066D"/>
    <w:rsid w:val="00A02F91"/>
    <w:rsid w:val="00A13890"/>
    <w:rsid w:val="00A161FC"/>
    <w:rsid w:val="00A221DE"/>
    <w:rsid w:val="00A223E9"/>
    <w:rsid w:val="00A27D8C"/>
    <w:rsid w:val="00A32EAB"/>
    <w:rsid w:val="00A36382"/>
    <w:rsid w:val="00A457E0"/>
    <w:rsid w:val="00A45EF3"/>
    <w:rsid w:val="00A4718D"/>
    <w:rsid w:val="00A47249"/>
    <w:rsid w:val="00A5589B"/>
    <w:rsid w:val="00A55B5B"/>
    <w:rsid w:val="00A60B33"/>
    <w:rsid w:val="00A7669D"/>
    <w:rsid w:val="00A8114D"/>
    <w:rsid w:val="00A83F1A"/>
    <w:rsid w:val="00A90DDC"/>
    <w:rsid w:val="00AB72CF"/>
    <w:rsid w:val="00AC1F3A"/>
    <w:rsid w:val="00AC3A35"/>
    <w:rsid w:val="00AC5670"/>
    <w:rsid w:val="00AD3F11"/>
    <w:rsid w:val="00AD7570"/>
    <w:rsid w:val="00AE26B4"/>
    <w:rsid w:val="00AF2859"/>
    <w:rsid w:val="00AF3F9E"/>
    <w:rsid w:val="00AF5795"/>
    <w:rsid w:val="00AF69F5"/>
    <w:rsid w:val="00AF6A3A"/>
    <w:rsid w:val="00AF72BF"/>
    <w:rsid w:val="00B02EDB"/>
    <w:rsid w:val="00B036DA"/>
    <w:rsid w:val="00B04056"/>
    <w:rsid w:val="00B105E4"/>
    <w:rsid w:val="00B13BB4"/>
    <w:rsid w:val="00B22317"/>
    <w:rsid w:val="00B23549"/>
    <w:rsid w:val="00B239B8"/>
    <w:rsid w:val="00B27AFF"/>
    <w:rsid w:val="00B33122"/>
    <w:rsid w:val="00B401DB"/>
    <w:rsid w:val="00B43F26"/>
    <w:rsid w:val="00B4679F"/>
    <w:rsid w:val="00B47045"/>
    <w:rsid w:val="00B479C5"/>
    <w:rsid w:val="00B505A6"/>
    <w:rsid w:val="00B5631B"/>
    <w:rsid w:val="00B63856"/>
    <w:rsid w:val="00B64D2A"/>
    <w:rsid w:val="00B764A3"/>
    <w:rsid w:val="00B91F53"/>
    <w:rsid w:val="00B940AA"/>
    <w:rsid w:val="00B95482"/>
    <w:rsid w:val="00BA55F8"/>
    <w:rsid w:val="00BA738B"/>
    <w:rsid w:val="00BB7126"/>
    <w:rsid w:val="00BC34DB"/>
    <w:rsid w:val="00BC3755"/>
    <w:rsid w:val="00BC63B6"/>
    <w:rsid w:val="00BC7A2A"/>
    <w:rsid w:val="00BC7BBB"/>
    <w:rsid w:val="00BF399B"/>
    <w:rsid w:val="00BF6C14"/>
    <w:rsid w:val="00BF7B44"/>
    <w:rsid w:val="00C02E41"/>
    <w:rsid w:val="00C05271"/>
    <w:rsid w:val="00C05F49"/>
    <w:rsid w:val="00C17D36"/>
    <w:rsid w:val="00C20EF1"/>
    <w:rsid w:val="00C2354C"/>
    <w:rsid w:val="00C3201A"/>
    <w:rsid w:val="00C33846"/>
    <w:rsid w:val="00C3772C"/>
    <w:rsid w:val="00C46F0A"/>
    <w:rsid w:val="00C5005A"/>
    <w:rsid w:val="00C54591"/>
    <w:rsid w:val="00C56EBA"/>
    <w:rsid w:val="00C570B6"/>
    <w:rsid w:val="00C57D0F"/>
    <w:rsid w:val="00C61016"/>
    <w:rsid w:val="00C61C0E"/>
    <w:rsid w:val="00C76137"/>
    <w:rsid w:val="00C77BE5"/>
    <w:rsid w:val="00C81F12"/>
    <w:rsid w:val="00C83BE4"/>
    <w:rsid w:val="00C93A50"/>
    <w:rsid w:val="00C9449F"/>
    <w:rsid w:val="00C9479A"/>
    <w:rsid w:val="00CA37EF"/>
    <w:rsid w:val="00CA6574"/>
    <w:rsid w:val="00CB2D29"/>
    <w:rsid w:val="00CC0B8E"/>
    <w:rsid w:val="00CD0C6C"/>
    <w:rsid w:val="00CD0F06"/>
    <w:rsid w:val="00CD5B3B"/>
    <w:rsid w:val="00CE040F"/>
    <w:rsid w:val="00CE1815"/>
    <w:rsid w:val="00CE58E2"/>
    <w:rsid w:val="00CE7639"/>
    <w:rsid w:val="00CF31EF"/>
    <w:rsid w:val="00D01BFE"/>
    <w:rsid w:val="00D06E9C"/>
    <w:rsid w:val="00D074B9"/>
    <w:rsid w:val="00D12D30"/>
    <w:rsid w:val="00D141D6"/>
    <w:rsid w:val="00D25176"/>
    <w:rsid w:val="00D261BE"/>
    <w:rsid w:val="00D32747"/>
    <w:rsid w:val="00D36CE4"/>
    <w:rsid w:val="00D4075B"/>
    <w:rsid w:val="00D504B1"/>
    <w:rsid w:val="00D50B62"/>
    <w:rsid w:val="00D51DDD"/>
    <w:rsid w:val="00D61D7E"/>
    <w:rsid w:val="00D63E8E"/>
    <w:rsid w:val="00D86F1D"/>
    <w:rsid w:val="00D9538F"/>
    <w:rsid w:val="00DA0771"/>
    <w:rsid w:val="00DA1D51"/>
    <w:rsid w:val="00DA3B49"/>
    <w:rsid w:val="00DA68C1"/>
    <w:rsid w:val="00DB3D0D"/>
    <w:rsid w:val="00DC5EBF"/>
    <w:rsid w:val="00DD63AE"/>
    <w:rsid w:val="00DE6E29"/>
    <w:rsid w:val="00DE72BB"/>
    <w:rsid w:val="00DF70A7"/>
    <w:rsid w:val="00DF72ED"/>
    <w:rsid w:val="00E00764"/>
    <w:rsid w:val="00E04C98"/>
    <w:rsid w:val="00E06A80"/>
    <w:rsid w:val="00E26ECB"/>
    <w:rsid w:val="00E32246"/>
    <w:rsid w:val="00E36492"/>
    <w:rsid w:val="00E47330"/>
    <w:rsid w:val="00E50362"/>
    <w:rsid w:val="00E562FC"/>
    <w:rsid w:val="00E65CB3"/>
    <w:rsid w:val="00E66431"/>
    <w:rsid w:val="00E7117D"/>
    <w:rsid w:val="00E73479"/>
    <w:rsid w:val="00E80D5E"/>
    <w:rsid w:val="00E82743"/>
    <w:rsid w:val="00E90CD6"/>
    <w:rsid w:val="00E91FBE"/>
    <w:rsid w:val="00E942DE"/>
    <w:rsid w:val="00EA0F6C"/>
    <w:rsid w:val="00EA3209"/>
    <w:rsid w:val="00EA727B"/>
    <w:rsid w:val="00EB3D26"/>
    <w:rsid w:val="00EB6B07"/>
    <w:rsid w:val="00EC3E0F"/>
    <w:rsid w:val="00EC4000"/>
    <w:rsid w:val="00EC439C"/>
    <w:rsid w:val="00EC4BEC"/>
    <w:rsid w:val="00ED56C3"/>
    <w:rsid w:val="00ED6F77"/>
    <w:rsid w:val="00EE0CF8"/>
    <w:rsid w:val="00EE14E8"/>
    <w:rsid w:val="00EE32F2"/>
    <w:rsid w:val="00F027B7"/>
    <w:rsid w:val="00F103B6"/>
    <w:rsid w:val="00F11014"/>
    <w:rsid w:val="00F12E17"/>
    <w:rsid w:val="00F15252"/>
    <w:rsid w:val="00F2589E"/>
    <w:rsid w:val="00F274F8"/>
    <w:rsid w:val="00F341D8"/>
    <w:rsid w:val="00F405A4"/>
    <w:rsid w:val="00F42120"/>
    <w:rsid w:val="00F42134"/>
    <w:rsid w:val="00F43D1E"/>
    <w:rsid w:val="00F45041"/>
    <w:rsid w:val="00F46623"/>
    <w:rsid w:val="00F52F4C"/>
    <w:rsid w:val="00F56471"/>
    <w:rsid w:val="00F67C18"/>
    <w:rsid w:val="00F67D20"/>
    <w:rsid w:val="00F70B1C"/>
    <w:rsid w:val="00F715A9"/>
    <w:rsid w:val="00F72829"/>
    <w:rsid w:val="00F75C3E"/>
    <w:rsid w:val="00F824BA"/>
    <w:rsid w:val="00F83F6C"/>
    <w:rsid w:val="00F84823"/>
    <w:rsid w:val="00F84BD4"/>
    <w:rsid w:val="00F90769"/>
    <w:rsid w:val="00F93B40"/>
    <w:rsid w:val="00F95E1D"/>
    <w:rsid w:val="00F979BF"/>
    <w:rsid w:val="00FA247E"/>
    <w:rsid w:val="00FA5699"/>
    <w:rsid w:val="00FA6899"/>
    <w:rsid w:val="00FB0701"/>
    <w:rsid w:val="00FB0D4E"/>
    <w:rsid w:val="00FB2971"/>
    <w:rsid w:val="00FB3282"/>
    <w:rsid w:val="00FB3C69"/>
    <w:rsid w:val="00FB4B8B"/>
    <w:rsid w:val="00FB6D27"/>
    <w:rsid w:val="00FC1A7C"/>
    <w:rsid w:val="00FC207E"/>
    <w:rsid w:val="00FC4284"/>
    <w:rsid w:val="00FC6B90"/>
    <w:rsid w:val="00FD628C"/>
    <w:rsid w:val="00FE2F2C"/>
    <w:rsid w:val="00FF2C8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157A5"/>
  <w14:defaultImageDpi w14:val="330"/>
  <w15:docId w15:val="{37360570-A3B8-46F1-B02E-2BB5AD7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3330"/>
    <w:rPr>
      <w:color w:val="0000FF"/>
      <w:u w:val="single"/>
    </w:rPr>
  </w:style>
  <w:style w:type="character" w:customStyle="1" w:styleId="l5def1">
    <w:name w:val="l5def1"/>
    <w:rsid w:val="00B64D2A"/>
    <w:rPr>
      <w:rFonts w:ascii="Arial" w:hAnsi="Arial" w:cs="Arial" w:hint="default"/>
      <w:color w:val="000000"/>
      <w:sz w:val="26"/>
      <w:szCs w:val="26"/>
    </w:rPr>
  </w:style>
  <w:style w:type="paragraph" w:customStyle="1" w:styleId="CaracterCharChar">
    <w:name w:val="Caracter Char Char"/>
    <w:basedOn w:val="Normal"/>
    <w:rsid w:val="00C9449F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customStyle="1" w:styleId="CaracterCharChar0">
    <w:name w:val="Caracter Char Char"/>
    <w:basedOn w:val="Normal"/>
    <w:rsid w:val="00A02F91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72"/>
    <w:qFormat/>
    <w:rsid w:val="00E06A80"/>
    <w:pPr>
      <w:ind w:left="720"/>
      <w:contextualSpacing/>
    </w:pPr>
  </w:style>
  <w:style w:type="paragraph" w:customStyle="1" w:styleId="CaracterCaracterCaracterCharCaracterCharCharCharCaracter">
    <w:name w:val="Caracter Caracter Caracter Char Caracter Char Char Char Caracter"/>
    <w:basedOn w:val="Normal"/>
    <w:rsid w:val="009F13D2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</w:rPr>
  </w:style>
  <w:style w:type="character" w:customStyle="1" w:styleId="l5def2">
    <w:name w:val="l5def2"/>
    <w:rsid w:val="004026CA"/>
    <w:rPr>
      <w:rFonts w:ascii="Arial" w:hAnsi="Arial" w:cs="Arial" w:hint="default"/>
      <w:color w:val="000000"/>
      <w:sz w:val="26"/>
      <w:szCs w:val="26"/>
    </w:rPr>
  </w:style>
  <w:style w:type="paragraph" w:customStyle="1" w:styleId="Char">
    <w:name w:val="Char"/>
    <w:basedOn w:val="Normal"/>
    <w:rsid w:val="00C77BE5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WW8Num10z4">
    <w:name w:val="WW8Num10z4"/>
    <w:rsid w:val="00F405A4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1E5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61A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56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0D"/>
    <w:rPr>
      <w:rFonts w:ascii="Trebuchet MS" w:hAnsi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0D"/>
    <w:rPr>
      <w:rFonts w:ascii="Trebuchet MS" w:hAnsi="Trebuchet M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hizi&#539;iipublice.anabi@ju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licitatii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E8FA-9638-468B-B72D-B7A1A6A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309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Dumitrascu</dc:creator>
  <cp:keywords/>
  <cp:lastModifiedBy>Loredana Chirilov</cp:lastModifiedBy>
  <cp:revision>2</cp:revision>
  <cp:lastPrinted>2018-06-28T10:10:00Z</cp:lastPrinted>
  <dcterms:created xsi:type="dcterms:W3CDTF">2019-09-05T12:06:00Z</dcterms:created>
  <dcterms:modified xsi:type="dcterms:W3CDTF">2019-09-05T12:06:00Z</dcterms:modified>
</cp:coreProperties>
</file>